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1D4BA" w14:textId="77777777" w:rsidR="00563909" w:rsidRDefault="00563909" w:rsidP="00563909">
      <w:pPr>
        <w:pStyle w:val="NormalWeb"/>
        <w:jc w:val="center"/>
        <w:rPr>
          <w:rFonts w:asciiTheme="minorHAnsi" w:hAnsiTheme="minorHAnsi" w:cstheme="minorHAnsi"/>
          <w:b/>
          <w:sz w:val="28"/>
          <w:szCs w:val="28"/>
        </w:rPr>
      </w:pPr>
      <w:r>
        <w:rPr>
          <w:rFonts w:asciiTheme="minorHAnsi" w:hAnsiTheme="minorHAnsi" w:cstheme="minorHAnsi"/>
          <w:b/>
          <w:sz w:val="28"/>
          <w:szCs w:val="28"/>
        </w:rPr>
        <w:t>ABRIDGE SURGERY</w:t>
      </w:r>
    </w:p>
    <w:p w14:paraId="59666324" w14:textId="577A90FA"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9D53AD4" w14:textId="77777777" w:rsidR="006B3A3A" w:rsidRDefault="00440ECD" w:rsidP="006B3A3A">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6B3A3A">
              <w:rPr>
                <w:rFonts w:asciiTheme="minorHAnsi" w:hAnsiTheme="minorHAnsi" w:cstheme="minorHAnsi"/>
                <w:color w:val="B30000"/>
              </w:rPr>
              <w:t>NHS Digital</w:t>
            </w:r>
            <w:r w:rsidR="00E204B5">
              <w:rPr>
                <w:rFonts w:asciiTheme="minorHAnsi" w:hAnsiTheme="minorHAnsi" w:cstheme="minorHAnsi"/>
                <w:color w:val="FF0000"/>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043EBE1F" w14:textId="77777777" w:rsidR="006B3A3A" w:rsidRPr="006B3A3A" w:rsidRDefault="006B3A3A" w:rsidP="006B3A3A">
            <w:pPr>
              <w:rPr>
                <w:rFonts w:cstheme="minorHAnsi"/>
              </w:rPr>
            </w:pPr>
          </w:p>
          <w:p w14:paraId="3A5046BD" w14:textId="3FB7661D" w:rsidR="00440ECD" w:rsidRPr="006B3A3A" w:rsidRDefault="00440ECD" w:rsidP="006B3A3A">
            <w:pPr>
              <w:pStyle w:val="NormalWeb"/>
              <w:numPr>
                <w:ilvl w:val="0"/>
                <w:numId w:val="3"/>
              </w:numPr>
              <w:spacing w:before="0" w:beforeAutospacing="0" w:after="0" w:afterAutospacing="0"/>
              <w:ind w:left="870"/>
              <w:rPr>
                <w:rFonts w:asciiTheme="minorHAnsi" w:hAnsiTheme="minorHAnsi" w:cstheme="minorHAnsi"/>
              </w:rPr>
            </w:pPr>
            <w:r w:rsidRPr="006B3A3A">
              <w:rPr>
                <w:rFonts w:asciiTheme="minorHAnsi" w:hAnsiTheme="minorHAnsi" w:cstheme="minorHAnsi"/>
              </w:rPr>
              <w:t xml:space="preserve">More information can be found at: </w:t>
            </w:r>
            <w:r w:rsidR="00E204B5" w:rsidRPr="006B3A3A">
              <w:rPr>
                <w:rFonts w:asciiTheme="minorHAnsi" w:hAnsiTheme="minorHAnsi" w:cstheme="minorHAnsi"/>
              </w:rPr>
              <w:t>www.digital.nhs.uk</w:t>
            </w:r>
            <w:r w:rsidRPr="006B3A3A">
              <w:rPr>
                <w:rFonts w:asciiTheme="minorHAnsi" w:hAnsiTheme="minorHAnsi" w:cstheme="minorHAnsi"/>
              </w:rPr>
              <w:t xml:space="preserve"> or </w:t>
            </w:r>
            <w:r w:rsidRPr="006B3A3A">
              <w:rPr>
                <w:rStyle w:val="Hyperlink"/>
                <w:rFonts w:asciiTheme="minorHAnsi" w:hAnsiTheme="minorHAnsi" w:cstheme="minorHAnsi"/>
                <w:color w:val="auto"/>
                <w:u w:val="none"/>
              </w:rPr>
              <w:t xml:space="preserve">the phone number for general enquires at </w:t>
            </w:r>
            <w:r w:rsidRPr="006B3A3A">
              <w:rPr>
                <w:rStyle w:val="Hyperlink"/>
                <w:rFonts w:asciiTheme="minorHAnsi" w:hAnsiTheme="minorHAnsi" w:cstheme="minorHAnsi"/>
                <w:color w:val="B30000"/>
                <w:u w:val="none"/>
              </w:rPr>
              <w:t xml:space="preserve">NHS Digital is </w:t>
            </w:r>
            <w:r w:rsidRPr="006B3A3A">
              <w:rPr>
                <w:rFonts w:asciiTheme="minorHAnsi" w:hAnsiTheme="minorHAnsi" w:cstheme="minorHAnsi"/>
                <w:color w:val="B30000"/>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
        <w:gridCol w:w="9222"/>
        <w:gridCol w:w="63"/>
      </w:tblGrid>
      <w:tr w:rsidR="00440ECD" w14:paraId="04DF1927" w14:textId="77777777" w:rsidTr="00563909">
        <w:trPr>
          <w:trHeight w:val="4831"/>
        </w:trPr>
        <w:tc>
          <w:tcPr>
            <w:tcW w:w="9330" w:type="dxa"/>
            <w:gridSpan w:val="3"/>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31ABB65F" w:rsidR="00440ECD" w:rsidRPr="00B34F6C" w:rsidRDefault="00712390"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Please s</w:t>
            </w:r>
            <w:r w:rsidR="00440ECD" w:rsidRPr="00B34F6C">
              <w:rPr>
                <w:rStyle w:val="Hyperlink"/>
                <w:rFonts w:asciiTheme="minorHAnsi" w:hAnsiTheme="minorHAnsi" w:cstheme="minorHAnsi"/>
                <w:color w:val="auto"/>
                <w:u w:val="none"/>
              </w:rPr>
              <w:t>peak to</w:t>
            </w:r>
            <w:r>
              <w:rPr>
                <w:rStyle w:val="Hyperlink"/>
                <w:rFonts w:asciiTheme="minorHAnsi" w:hAnsiTheme="minorHAnsi" w:cstheme="minorHAnsi"/>
                <w:color w:val="auto"/>
                <w:u w:val="none"/>
              </w:rPr>
              <w:t xml:space="preserve"> the surgery if you require any further information.</w:t>
            </w:r>
            <w:r w:rsidR="00440ECD" w:rsidRPr="00B34F6C">
              <w:rPr>
                <w:rStyle w:val="Hyperlink"/>
                <w:rFonts w:asciiTheme="minorHAnsi" w:hAnsiTheme="minorHAnsi" w:cstheme="minorHAnsi"/>
                <w:color w:val="auto"/>
                <w:u w:val="none"/>
              </w:rPr>
              <w:t xml:space="preserv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r w:rsidR="00440ECD" w14:paraId="6AB39603" w14:textId="77777777" w:rsidTr="00563909">
        <w:trPr>
          <w:gridBefore w:val="1"/>
          <w:gridAfter w:val="1"/>
          <w:wBefore w:w="45" w:type="dxa"/>
          <w:wAfter w:w="63" w:type="dxa"/>
          <w:trHeight w:val="405"/>
        </w:trPr>
        <w:tc>
          <w:tcPr>
            <w:tcW w:w="9222" w:type="dxa"/>
          </w:tcPr>
          <w:p w14:paraId="636B315C" w14:textId="7D1A8A0B" w:rsidR="00440ECD" w:rsidRPr="00661BBC" w:rsidRDefault="00563909" w:rsidP="004F7429">
            <w:pPr>
              <w:pStyle w:val="NormalWeb"/>
              <w:spacing w:before="0" w:beforeAutospacing="0" w:after="0" w:afterAutospacing="0"/>
              <w:ind w:left="360"/>
              <w:rPr>
                <w:rFonts w:asciiTheme="minorHAnsi" w:hAnsiTheme="minorHAnsi" w:cstheme="minorHAnsi"/>
                <w:u w:val="single"/>
              </w:rPr>
            </w:pPr>
            <w:r>
              <w:rPr>
                <w:rFonts w:asciiTheme="minorHAnsi" w:eastAsiaTheme="minorHAnsi" w:hAnsiTheme="minorHAnsi" w:cstheme="minorBidi"/>
                <w:sz w:val="22"/>
                <w:szCs w:val="22"/>
                <w:lang w:val="en-GB"/>
              </w:rPr>
              <w:br w:type="page"/>
            </w:r>
            <w:r w:rsidR="00440ECD" w:rsidRPr="00661BBC">
              <w:rPr>
                <w:rFonts w:asciiTheme="minorHAnsi" w:hAnsiTheme="minorHAnsi" w:cstheme="minorHAnsi"/>
                <w:b/>
                <w:sz w:val="28"/>
                <w:szCs w:val="28"/>
                <w:u w:val="single"/>
              </w:rPr>
              <w:t>Safeguarding</w:t>
            </w:r>
            <w:r w:rsidR="00440ECD"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1C14F2CE" w14:textId="56F18E6D" w:rsidR="00440ECD" w:rsidRPr="0050780C" w:rsidRDefault="00440ECD" w:rsidP="00563909">
            <w:pPr>
              <w:pStyle w:val="NormalWeb"/>
              <w:numPr>
                <w:ilvl w:val="0"/>
                <w:numId w:val="5"/>
              </w:numPr>
              <w:spacing w:before="0" w:beforeAutospacing="0" w:after="0" w:afterAutospacing="0"/>
              <w:rPr>
                <w:rFonts w:asciiTheme="minorHAnsi" w:hAnsiTheme="minorHAnsi" w:cstheme="minorHAnsi"/>
                <w:color w:val="FF0000"/>
              </w:rPr>
            </w:pPr>
            <w:r w:rsidRPr="009F1626">
              <w:rPr>
                <w:rFonts w:asciiTheme="minorHAnsi" w:hAnsiTheme="minorHAnsi" w:cstheme="minorHAnsi"/>
              </w:rPr>
              <w:t xml:space="preserve">Please see our </w:t>
            </w:r>
            <w:r w:rsidR="00E204B5">
              <w:rPr>
                <w:rFonts w:asciiTheme="minorHAnsi" w:hAnsiTheme="minorHAnsi" w:cstheme="minorHAnsi"/>
              </w:rPr>
              <w:t>website – www.abridgesurgery.co.uk</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0C0BCCEB" w:rsidR="00440ECD" w:rsidRPr="00326B35" w:rsidRDefault="00E204B5" w:rsidP="004F7429">
            <w:pPr>
              <w:rPr>
                <w:rFonts w:cstheme="minorHAnsi"/>
                <w:lang w:eastAsia="en-GB"/>
              </w:rPr>
            </w:pPr>
            <w:r w:rsidRPr="00326B35">
              <w:rPr>
                <w:rFonts w:cstheme="minorHAnsi"/>
                <w:lang w:eastAsia="en-GB"/>
              </w:rPr>
              <w:t>Abridge Surgery</w:t>
            </w:r>
          </w:p>
          <w:p w14:paraId="20EDB157" w14:textId="0108780A" w:rsidR="00E204B5" w:rsidRPr="006E5EB2" w:rsidRDefault="00E204B5" w:rsidP="004F7429">
            <w:pPr>
              <w:rPr>
                <w:rFonts w:cstheme="minorHAnsi"/>
                <w:color w:val="FF0000"/>
                <w:lang w:eastAsia="en-GB"/>
              </w:rPr>
            </w:pPr>
            <w:r>
              <w:rPr>
                <w:lang w:val="en"/>
              </w:rPr>
              <w:t xml:space="preserve">37 </w:t>
            </w:r>
            <w:proofErr w:type="spellStart"/>
            <w:r>
              <w:rPr>
                <w:lang w:val="en"/>
              </w:rPr>
              <w:t>Ongar</w:t>
            </w:r>
            <w:proofErr w:type="spellEnd"/>
            <w:r>
              <w:rPr>
                <w:lang w:val="en"/>
              </w:rPr>
              <w:t xml:space="preserve"> Road</w:t>
            </w:r>
            <w:r>
              <w:rPr>
                <w:lang w:val="en"/>
              </w:rPr>
              <w:br/>
              <w:t>Abridge</w:t>
            </w:r>
            <w:r>
              <w:rPr>
                <w:lang w:val="en"/>
              </w:rPr>
              <w:br/>
            </w:r>
            <w:proofErr w:type="spellStart"/>
            <w:r>
              <w:rPr>
                <w:lang w:val="en"/>
              </w:rPr>
              <w:t>Romford</w:t>
            </w:r>
            <w:proofErr w:type="spellEnd"/>
            <w:r>
              <w:rPr>
                <w:lang w:val="en"/>
              </w:rPr>
              <w:br/>
              <w:t>Essex</w:t>
            </w:r>
            <w:r>
              <w:rPr>
                <w:lang w:val="en"/>
              </w:rPr>
              <w:br/>
              <w:t>RM4 1UH</w:t>
            </w:r>
            <w:r>
              <w:rPr>
                <w:lang w:val="en"/>
              </w:rPr>
              <w:br/>
              <w:t>Tel: 01992 812961 </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31DF8C52" w:rsidR="00440ECD" w:rsidRPr="006E5EB2" w:rsidRDefault="00712390" w:rsidP="00712390">
            <w:pPr>
              <w:rPr>
                <w:rFonts w:cstheme="minorHAnsi"/>
              </w:rPr>
            </w:pPr>
            <w:r>
              <w:rPr>
                <w:rFonts w:cstheme="minorHAnsi"/>
              </w:rPr>
              <w:t>Stellar Healthcare</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99ECF95"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w:t>
            </w:r>
            <w:r w:rsidR="00563909">
              <w:rPr>
                <w:rFonts w:cstheme="minorHAnsi"/>
                <w:color w:val="000000"/>
              </w:rPr>
              <w:t>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4639BA05" w:rsidR="00440ECD" w:rsidRDefault="00440ECD" w:rsidP="004F7429">
            <w:pPr>
              <w:rPr>
                <w:rFonts w:cstheme="minorHAnsi"/>
                <w:color w:val="000000"/>
                <w:lang w:eastAsia="en-GB"/>
              </w:rPr>
            </w:pPr>
            <w:r w:rsidRPr="006E5EB2">
              <w:rPr>
                <w:rFonts w:cstheme="minorHAnsi"/>
                <w:color w:val="000000"/>
                <w:lang w:eastAsia="en-GB"/>
              </w:rPr>
              <w:t>The data will be shared with</w:t>
            </w:r>
            <w:r w:rsidR="001E0E5F">
              <w:rPr>
                <w:rFonts w:cstheme="minorHAnsi"/>
                <w:color w:val="000000"/>
                <w:lang w:eastAsia="en-GB"/>
              </w:rPr>
              <w:t xml:space="preserve"> the following.  It is including but not limited to</w:t>
            </w:r>
            <w:r>
              <w:rPr>
                <w:rFonts w:cstheme="minorHAnsi"/>
                <w:color w:val="000000"/>
                <w:lang w:eastAsia="en-GB"/>
              </w:rPr>
              <w:t>:</w:t>
            </w:r>
            <w:r w:rsidR="001E0E5F">
              <w:rPr>
                <w:rFonts w:cstheme="minorHAnsi"/>
                <w:color w:val="000000"/>
                <w:lang w:eastAsia="en-GB"/>
              </w:rPr>
              <w:t>-</w:t>
            </w:r>
          </w:p>
          <w:p w14:paraId="7FDC2591" w14:textId="359EEE76"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w:t>
            </w:r>
            <w:r w:rsidR="001E0E5F">
              <w:rPr>
                <w:rFonts w:cstheme="minorHAnsi"/>
                <w:color w:val="000000"/>
                <w:lang w:eastAsia="en-GB"/>
              </w:rPr>
              <w:t xml:space="preserve">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E5CDA85" w14:textId="7900CFE9" w:rsidR="001E0E5F" w:rsidRDefault="001E0E5F" w:rsidP="00440ECD">
            <w:pPr>
              <w:pStyle w:val="ListParagraph"/>
              <w:numPr>
                <w:ilvl w:val="0"/>
                <w:numId w:val="7"/>
              </w:numPr>
              <w:rPr>
                <w:rFonts w:cstheme="minorHAnsi"/>
                <w:color w:val="000000"/>
                <w:lang w:eastAsia="en-GB"/>
              </w:rPr>
            </w:pPr>
            <w:r>
              <w:rPr>
                <w:rFonts w:cstheme="minorHAnsi"/>
                <w:color w:val="000000"/>
                <w:lang w:eastAsia="en-GB"/>
              </w:rPr>
              <w:t xml:space="preserve">Other healthcare professionals and staff involved in your patient care </w:t>
            </w:r>
          </w:p>
          <w:p w14:paraId="57D8CBB4" w14:textId="3B679F35" w:rsidR="00440ECD" w:rsidRPr="001E0E5F" w:rsidRDefault="001E0E5F" w:rsidP="001E0E5F">
            <w:pPr>
              <w:pStyle w:val="ListParagraph"/>
              <w:numPr>
                <w:ilvl w:val="0"/>
                <w:numId w:val="7"/>
              </w:numPr>
              <w:rPr>
                <w:rFonts w:cstheme="minorHAnsi"/>
                <w:color w:val="000000"/>
                <w:lang w:eastAsia="en-GB"/>
              </w:rPr>
            </w:pPr>
            <w:r>
              <w:rPr>
                <w:rFonts w:cstheme="minorHAnsi"/>
                <w:color w:val="000000"/>
                <w:lang w:eastAsia="en-GB"/>
              </w:rPr>
              <w:lastRenderedPageBreak/>
              <w:t xml:space="preserve">In developing services in these areas such as Neighbourhood teams, MDT (Multidisciplinary Team meetings) </w:t>
            </w: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lastRenderedPageBreak/>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7B4FEFC6" w14:textId="6D8EDB22" w:rsidR="00440ECD" w:rsidRPr="006E5EB2" w:rsidRDefault="00440ECD" w:rsidP="001E0E5F">
            <w:pPr>
              <w:pStyle w:val="ListParagraph"/>
              <w:numPr>
                <w:ilvl w:val="0"/>
                <w:numId w:val="8"/>
              </w:numPr>
              <w:rPr>
                <w:rFonts w:cstheme="minorHAnsi"/>
              </w:rPr>
            </w:pPr>
            <w:r w:rsidRPr="004147E2">
              <w:rPr>
                <w:rFonts w:cstheme="minorHAnsi"/>
              </w:rPr>
              <w:t>The information will be shared with</w:t>
            </w:r>
            <w:r w:rsidR="001E0E5F">
              <w:rPr>
                <w:rFonts w:cstheme="minorHAnsi"/>
              </w:rPr>
              <w:t xml:space="preserve"> the local safeguarding service.  This is the Essex Safeguarding Children’s Board and other appropriate services.</w:t>
            </w: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7B8A3195" w14:textId="33B2AC0B"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r w:rsidR="001E0E5F">
              <w:rPr>
                <w:rFonts w:cstheme="minorHAnsi"/>
                <w:color w:val="000000"/>
                <w:lang w:eastAsia="en-GB"/>
              </w:rPr>
              <w:t xml:space="preserve"> - www.abridgesurgery.co.uk</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 xml:space="preserve">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w:t>
            </w:r>
            <w:r>
              <w:rPr>
                <w:rFonts w:cstheme="minorHAnsi"/>
                <w:color w:val="000000"/>
                <w:lang w:eastAsia="en-GB"/>
              </w:rPr>
              <w:lastRenderedPageBreak/>
              <w:t>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39D56" w14:textId="77777777" w:rsidR="00C45EB4" w:rsidRDefault="00C45EB4" w:rsidP="001E0E5F">
      <w:pPr>
        <w:spacing w:after="0" w:line="240" w:lineRule="auto"/>
      </w:pPr>
      <w:r>
        <w:separator/>
      </w:r>
    </w:p>
  </w:endnote>
  <w:endnote w:type="continuationSeparator" w:id="0">
    <w:p w14:paraId="577F3A32" w14:textId="77777777" w:rsidR="00C45EB4" w:rsidRDefault="00C45EB4" w:rsidP="001E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A5AC" w14:textId="4ABB0DD0" w:rsidR="001E0E5F" w:rsidRPr="00563909" w:rsidRDefault="001E0E5F">
    <w:pPr>
      <w:pStyle w:val="Footer"/>
      <w:rPr>
        <w:b/>
        <w:sz w:val="12"/>
        <w:szCs w:val="12"/>
      </w:rPr>
    </w:pPr>
    <w:proofErr w:type="spellStart"/>
    <w:proofErr w:type="gramStart"/>
    <w:r w:rsidRPr="00563909">
      <w:rPr>
        <w:b/>
        <w:sz w:val="12"/>
        <w:szCs w:val="12"/>
      </w:rPr>
      <w:t>Ref:AbridgeSurgery</w:t>
    </w:r>
    <w:proofErr w:type="spellEnd"/>
    <w:proofErr w:type="gramEnd"/>
    <w:r w:rsidRPr="00563909">
      <w:rPr>
        <w:b/>
        <w:sz w:val="12"/>
        <w:szCs w:val="12"/>
      </w:rPr>
      <w:t xml:space="preserve"> privacy </w:t>
    </w:r>
    <w:r w:rsidR="00563909" w:rsidRPr="00563909">
      <w:rPr>
        <w:b/>
        <w:sz w:val="12"/>
        <w:szCs w:val="12"/>
      </w:rPr>
      <w:t xml:space="preserve">notice information about how your information is used to provide you with healthcare </w:t>
    </w:r>
    <w:r w:rsidRPr="00563909">
      <w:rPr>
        <w:b/>
        <w:sz w:val="12"/>
        <w:szCs w:val="12"/>
      </w:rPr>
      <w:t xml:space="preserve"> </w:t>
    </w:r>
    <w:proofErr w:type="spellStart"/>
    <w:r w:rsidRPr="00563909">
      <w:rPr>
        <w:b/>
        <w:sz w:val="12"/>
        <w:szCs w:val="12"/>
      </w:rPr>
      <w:t>By:AM</w:t>
    </w:r>
    <w:proofErr w:type="spellEnd"/>
    <w:r w:rsidRPr="00563909">
      <w:rPr>
        <w:b/>
        <w:sz w:val="12"/>
        <w:szCs w:val="12"/>
      </w:rPr>
      <w:t xml:space="preserve">  Issue:1  Date:May2018   Page</w:t>
    </w:r>
    <w:r w:rsidR="00563909" w:rsidRPr="00563909">
      <w:rPr>
        <w:b/>
        <w:sz w:val="12"/>
        <w:szCs w:val="12"/>
      </w:rPr>
      <w:fldChar w:fldCharType="begin"/>
    </w:r>
    <w:r w:rsidR="00563909" w:rsidRPr="00563909">
      <w:rPr>
        <w:b/>
        <w:sz w:val="12"/>
        <w:szCs w:val="12"/>
      </w:rPr>
      <w:instrText xml:space="preserve"> PAGE   \* MERGEFORMAT </w:instrText>
    </w:r>
    <w:r w:rsidR="00563909" w:rsidRPr="00563909">
      <w:rPr>
        <w:b/>
        <w:sz w:val="12"/>
        <w:szCs w:val="12"/>
      </w:rPr>
      <w:fldChar w:fldCharType="separate"/>
    </w:r>
    <w:r w:rsidR="008E026F">
      <w:rPr>
        <w:b/>
        <w:noProof/>
        <w:sz w:val="12"/>
        <w:szCs w:val="12"/>
      </w:rPr>
      <w:t>3</w:t>
    </w:r>
    <w:r w:rsidR="00563909" w:rsidRPr="00563909">
      <w:rPr>
        <w:b/>
        <w:noProof/>
        <w:sz w:val="12"/>
        <w:szCs w:val="12"/>
      </w:rPr>
      <w:fldChar w:fldCharType="end"/>
    </w:r>
    <w:r w:rsidR="009E35FB" w:rsidRPr="00563909">
      <w:rPr>
        <w:b/>
        <w:sz w:val="12"/>
        <w:szCs w:val="12"/>
      </w:rPr>
      <w:t>of</w:t>
    </w:r>
    <w:r w:rsidR="00563909" w:rsidRPr="00563909">
      <w:rPr>
        <w:b/>
        <w:sz w:val="12"/>
        <w:szCs w:val="12"/>
      </w:rPr>
      <w:t>4</w:t>
    </w:r>
    <w:r w:rsidR="009E35FB" w:rsidRPr="00563909">
      <w:rPr>
        <w:b/>
        <w:sz w:val="12"/>
        <w:szCs w:val="12"/>
      </w:rPr>
      <w:t>page</w:t>
    </w:r>
    <w:r w:rsidR="00563909" w:rsidRPr="00563909">
      <w:rPr>
        <w:b/>
        <w:sz w:val="12"/>
        <w:szCs w:val="12"/>
      </w:rPr>
      <w:t>s</w:t>
    </w:r>
  </w:p>
  <w:p w14:paraId="60F7BFC9" w14:textId="77777777" w:rsidR="001E0E5F" w:rsidRDefault="001E0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3BBE" w14:textId="77777777" w:rsidR="00C45EB4" w:rsidRDefault="00C45EB4" w:rsidP="001E0E5F">
      <w:pPr>
        <w:spacing w:after="0" w:line="240" w:lineRule="auto"/>
      </w:pPr>
      <w:r>
        <w:separator/>
      </w:r>
    </w:p>
  </w:footnote>
  <w:footnote w:type="continuationSeparator" w:id="0">
    <w:p w14:paraId="46813476" w14:textId="77777777" w:rsidR="00C45EB4" w:rsidRDefault="00C45EB4" w:rsidP="001E0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0B5872"/>
    <w:rsid w:val="001E0E5F"/>
    <w:rsid w:val="00326B35"/>
    <w:rsid w:val="00440ECD"/>
    <w:rsid w:val="0044335B"/>
    <w:rsid w:val="00563909"/>
    <w:rsid w:val="006B3A3A"/>
    <w:rsid w:val="00712390"/>
    <w:rsid w:val="008E026F"/>
    <w:rsid w:val="009E35FB"/>
    <w:rsid w:val="00B750C7"/>
    <w:rsid w:val="00C45EB4"/>
    <w:rsid w:val="00CC1E6B"/>
    <w:rsid w:val="00E204B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D5EC"/>
  <w15:docId w15:val="{60582FA9-87CF-4D9C-997A-A70877B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1E0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E5F"/>
    <w:rPr>
      <w:rFonts w:eastAsiaTheme="minorHAnsi" w:hAnsiTheme="minorHAnsi" w:cstheme="minorBidi"/>
      <w:lang w:eastAsia="en-US"/>
    </w:rPr>
  </w:style>
  <w:style w:type="paragraph" w:styleId="Footer">
    <w:name w:val="footer"/>
    <w:basedOn w:val="Normal"/>
    <w:link w:val="FooterChar"/>
    <w:uiPriority w:val="99"/>
    <w:unhideWhenUsed/>
    <w:rsid w:val="001E0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E5F"/>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E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5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3FC62-AB2C-4E32-A738-6C8E41483EF8}">
  <ds:schemaRefs>
    <ds:schemaRef ds:uri="http://schemas.openxmlformats.org/officeDocument/2006/bibliography"/>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Amy Griffiths</cp:lastModifiedBy>
  <cp:revision>2</cp:revision>
  <cp:lastPrinted>2018-05-23T08:42:00Z</cp:lastPrinted>
  <dcterms:created xsi:type="dcterms:W3CDTF">2020-09-02T14:57:00Z</dcterms:created>
  <dcterms:modified xsi:type="dcterms:W3CDTF">2020-09-02T14:57:00Z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